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BA75D" w14:textId="77777777" w:rsidR="00557C4D" w:rsidRDefault="00557C4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6939"/>
      </w:tblGrid>
      <w:tr w:rsidR="00557C4D" w14:paraId="5C107D65" w14:textId="77777777">
        <w:tc>
          <w:tcPr>
            <w:tcW w:w="2689" w:type="dxa"/>
            <w:shd w:val="clear" w:color="auto" w:fill="A6A6A6"/>
          </w:tcPr>
          <w:p w14:paraId="2B906232" w14:textId="77777777" w:rsidR="00557C4D" w:rsidRDefault="00C47237">
            <w:pPr>
              <w:jc w:val="center"/>
              <w:rPr>
                <w:rFonts w:ascii="Verdana" w:eastAsia="Verdana" w:hAnsi="Verdana" w:cs="Verdana"/>
                <w:b/>
                <w:bCs/>
              </w:rPr>
            </w:pPr>
            <w:r>
              <w:rPr>
                <w:rFonts w:ascii="Verdana" w:eastAsia="Verdana" w:hAnsi="Verdana" w:cs="Verdana"/>
                <w:b/>
                <w:bCs/>
              </w:rPr>
              <w:t>Modulo</w:t>
            </w:r>
          </w:p>
        </w:tc>
        <w:tc>
          <w:tcPr>
            <w:tcW w:w="6939" w:type="dxa"/>
          </w:tcPr>
          <w:p w14:paraId="5D13CF9C" w14:textId="77777777" w:rsidR="00557C4D" w:rsidRDefault="00C47237">
            <w:pPr>
              <w:jc w:val="center"/>
              <w:rPr>
                <w:rFonts w:ascii="Verdana" w:eastAsia="Verdana" w:hAnsi="Verdana" w:cs="Verdana"/>
                <w:b/>
                <w:bCs/>
              </w:rPr>
            </w:pPr>
            <w:r>
              <w:rPr>
                <w:rFonts w:ascii="Verdana" w:eastAsia="Verdana" w:hAnsi="Verdana" w:cs="Verdana"/>
                <w:b/>
                <w:bCs/>
              </w:rPr>
              <w:t>Descrizione</w:t>
            </w:r>
          </w:p>
        </w:tc>
      </w:tr>
      <w:tr w:rsidR="00557C4D" w14:paraId="783E4139" w14:textId="77777777">
        <w:tc>
          <w:tcPr>
            <w:tcW w:w="2689" w:type="dxa"/>
            <w:shd w:val="clear" w:color="auto" w:fill="A6A6A6"/>
          </w:tcPr>
          <w:p w14:paraId="7FA770D7" w14:textId="77777777" w:rsidR="00557C4D" w:rsidRDefault="00C47237">
            <w:pPr>
              <w:jc w:val="center"/>
              <w:rPr>
                <w:rFonts w:ascii="Verdana" w:eastAsia="Verdana" w:hAnsi="Verdana" w:cs="Verdana"/>
                <w:b/>
                <w:bCs/>
                <w:highlight w:val="yellow"/>
              </w:rPr>
            </w:pPr>
            <w:r>
              <w:rPr>
                <w:rFonts w:ascii="Verdana" w:eastAsia="Verdana" w:hAnsi="Verdana" w:cs="Verdana"/>
                <w:b/>
                <w:bCs/>
              </w:rPr>
              <w:t>Penne creative</w:t>
            </w:r>
          </w:p>
        </w:tc>
        <w:tc>
          <w:tcPr>
            <w:tcW w:w="6939" w:type="dxa"/>
          </w:tcPr>
          <w:p w14:paraId="55A0F08D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Lo sviluppo delle competenze linguistiche richiede pratiche immersive, meno cristallizzate e tradizionali quali spiegazione, interrogazione, compito scritto in classe, ma</w:t>
            </w:r>
          </w:p>
          <w:p w14:paraId="1A392239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sempre più orientate sulla funzione euristica della lingua e</w:t>
            </w:r>
          </w:p>
          <w:p w14:paraId="1CE2A5BF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all’esplorazione cognitiva della realtà. In particolare il</w:t>
            </w:r>
          </w:p>
          <w:p w14:paraId="3DFD5D57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laboratorio si concentra su:</w:t>
            </w:r>
          </w:p>
          <w:p w14:paraId="3BF29AFD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- le diverse modalità di comprensione dei testi per</w:t>
            </w:r>
          </w:p>
          <w:p w14:paraId="6530A138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analizzarli e commentarli, per studiarli o ancora per usarli</w:t>
            </w:r>
          </w:p>
          <w:p w14:paraId="15A5BBDC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nelle proprie attività di scrittura anche in occasioni reali;</w:t>
            </w:r>
          </w:p>
          <w:p w14:paraId="1224AA96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lo sviluppo delle abilità dell’ascolto e del parlato, spesso</w:t>
            </w:r>
          </w:p>
          <w:p w14:paraId="23B0F0CB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trascurate nell’insegnamento dell’italiano, con interventi</w:t>
            </w:r>
          </w:p>
          <w:p w14:paraId="56126D58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focalizzati sulle situazioni comunicative, aspetti di relazione,</w:t>
            </w:r>
          </w:p>
          <w:p w14:paraId="1BF99B64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aspetti di contenuto nella comunicazione in classe, anche</w:t>
            </w:r>
          </w:p>
          <w:p w14:paraId="51CB1DAC" w14:textId="77777777" w:rsidR="00557C4D" w:rsidRDefault="00C47237">
            <w:pPr>
              <w:jc w:val="both"/>
              <w:rPr>
                <w:rFonts w:ascii="Verdana" w:eastAsia="Verdana" w:hAnsi="Verdana" w:cs="Verdana"/>
                <w:highlight w:val="yellow"/>
              </w:rPr>
            </w:pPr>
            <w:r>
              <w:rPr>
                <w:rFonts w:ascii="Verdana" w:eastAsia="Verdana" w:hAnsi="Verdana" w:cs="Verdana"/>
              </w:rPr>
              <w:t>attraverso un’impostazione dialogica della lezione</w:t>
            </w:r>
          </w:p>
        </w:tc>
      </w:tr>
      <w:tr w:rsidR="00557C4D" w14:paraId="11012366" w14:textId="77777777">
        <w:tc>
          <w:tcPr>
            <w:tcW w:w="2689" w:type="dxa"/>
            <w:shd w:val="clear" w:color="auto" w:fill="A6A6A6"/>
          </w:tcPr>
          <w:p w14:paraId="07591D93" w14:textId="77777777" w:rsidR="00557C4D" w:rsidRDefault="00C47237">
            <w:pPr>
              <w:jc w:val="center"/>
              <w:rPr>
                <w:rFonts w:ascii="Verdana" w:eastAsia="Verdana" w:hAnsi="Verdana" w:cs="Verdana"/>
                <w:b/>
                <w:bCs/>
                <w:highlight w:val="yellow"/>
              </w:rPr>
            </w:pPr>
            <w:r>
              <w:rPr>
                <w:rFonts w:ascii="Verdana" w:eastAsia="Verdana" w:hAnsi="Verdana" w:cs="Verdana"/>
                <w:b/>
                <w:bCs/>
              </w:rPr>
              <w:t xml:space="preserve">Mens sana in </w:t>
            </w:r>
            <w:proofErr w:type="spellStart"/>
            <w:r>
              <w:rPr>
                <w:rFonts w:ascii="Verdana" w:eastAsia="Verdana" w:hAnsi="Verdana" w:cs="Verdana"/>
                <w:b/>
                <w:bCs/>
              </w:rPr>
              <w:t>corpore</w:t>
            </w:r>
            <w:proofErr w:type="spellEnd"/>
            <w:r>
              <w:rPr>
                <w:rFonts w:ascii="Verdana" w:eastAsia="Verdana" w:hAnsi="Verdana" w:cs="Verdana"/>
                <w:b/>
                <w:bCs/>
              </w:rPr>
              <w:t xml:space="preserve"> sano</w:t>
            </w:r>
          </w:p>
        </w:tc>
        <w:tc>
          <w:tcPr>
            <w:tcW w:w="6939" w:type="dxa"/>
          </w:tcPr>
          <w:p w14:paraId="00D0393E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L’impatto che l’attività sportiva ha sui giovani è</w:t>
            </w:r>
          </w:p>
          <w:p w14:paraId="4F30B2C6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ampiamente sottovalutato e lo è ancora di più se si</w:t>
            </w:r>
          </w:p>
          <w:p w14:paraId="1A473910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considerano gli effetti positivi, in termini di riabilitazione e</w:t>
            </w:r>
          </w:p>
          <w:p w14:paraId="3964E5AB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recupero della socializzazione, che l’attività sportiva</w:t>
            </w:r>
          </w:p>
          <w:p w14:paraId="6ECB9634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svolge sulle persone disabili e in condizione di svantaggio</w:t>
            </w:r>
          </w:p>
          <w:p w14:paraId="134E34DE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sociale. Per quanto possibile, le attività saranno a contatto</w:t>
            </w:r>
          </w:p>
          <w:p w14:paraId="3A4ED262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con l’ambiente naturale.</w:t>
            </w:r>
          </w:p>
          <w:p w14:paraId="7CE9DA1B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La proposta didattica intende favorire attraverso le pratiche</w:t>
            </w:r>
          </w:p>
          <w:p w14:paraId="32613C37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motorie e sportive il miglioramento del livello di</w:t>
            </w:r>
          </w:p>
          <w:p w14:paraId="574FCDF0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socializzazione, la riduzione dello stress e dell’ansia</w:t>
            </w:r>
          </w:p>
          <w:p w14:paraId="2B9C66BA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attraverso il movimento corporeo, favorire la percezione</w:t>
            </w:r>
          </w:p>
          <w:p w14:paraId="2A1DAEAF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dell’altro, insegnando a leggere i movimenti degli avversari,</w:t>
            </w:r>
          </w:p>
          <w:p w14:paraId="4FC3437E" w14:textId="77777777" w:rsidR="00557C4D" w:rsidRDefault="00C47237">
            <w:pPr>
              <w:jc w:val="both"/>
              <w:rPr>
                <w:rFonts w:ascii="Verdana" w:eastAsia="Verdana" w:hAnsi="Verdana" w:cs="Verdana"/>
                <w:highlight w:val="yellow"/>
              </w:rPr>
            </w:pPr>
            <w:r>
              <w:rPr>
                <w:rFonts w:ascii="Verdana" w:eastAsia="Verdana" w:hAnsi="Verdana" w:cs="Verdana"/>
              </w:rPr>
              <w:t>a comprenderne le intenzioni e a regolarsi di conseguenza.</w:t>
            </w:r>
          </w:p>
        </w:tc>
      </w:tr>
      <w:tr w:rsidR="00557C4D" w14:paraId="61C48969" w14:textId="77777777">
        <w:tc>
          <w:tcPr>
            <w:tcW w:w="2689" w:type="dxa"/>
            <w:shd w:val="clear" w:color="auto" w:fill="A6A6A6"/>
          </w:tcPr>
          <w:p w14:paraId="73B7C5BC" w14:textId="77777777" w:rsidR="00557C4D" w:rsidRDefault="00C47237">
            <w:pPr>
              <w:jc w:val="center"/>
              <w:rPr>
                <w:rFonts w:ascii="Verdana" w:eastAsia="Verdana" w:hAnsi="Verdana" w:cs="Verdana"/>
                <w:b/>
                <w:bCs/>
                <w:highlight w:val="yellow"/>
              </w:rPr>
            </w:pPr>
            <w:r>
              <w:rPr>
                <w:rFonts w:ascii="Verdana" w:eastAsia="Verdana" w:hAnsi="Verdana" w:cs="Verdana"/>
                <w:b/>
                <w:bCs/>
              </w:rPr>
              <w:t>Matematica in gioco</w:t>
            </w:r>
          </w:p>
        </w:tc>
        <w:tc>
          <w:tcPr>
            <w:tcW w:w="6939" w:type="dxa"/>
          </w:tcPr>
          <w:p w14:paraId="6C29BAA6" w14:textId="77777777" w:rsidR="00557C4D" w:rsidRDefault="00C47237">
            <w:pPr>
              <w:tabs>
                <w:tab w:val="left" w:pos="2280"/>
              </w:tabs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Il percorso di apprendimento più efficace, che sarà utilizzato</w:t>
            </w:r>
          </w:p>
          <w:p w14:paraId="17EA6E2A" w14:textId="77777777" w:rsidR="00557C4D" w:rsidRDefault="00C47237">
            <w:pPr>
              <w:tabs>
                <w:tab w:val="left" w:pos="2280"/>
              </w:tabs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per il potenziamento, non è di carattere deduttivo, dalla</w:t>
            </w:r>
          </w:p>
          <w:p w14:paraId="1790FE7A" w14:textId="77777777" w:rsidR="00557C4D" w:rsidRDefault="00C47237">
            <w:pPr>
              <w:tabs>
                <w:tab w:val="left" w:pos="2280"/>
              </w:tabs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legge all’esemplificazione, ma induttivo: partendo da</w:t>
            </w:r>
          </w:p>
          <w:p w14:paraId="307F5128" w14:textId="77777777" w:rsidR="00557C4D" w:rsidRDefault="00C47237">
            <w:pPr>
              <w:tabs>
                <w:tab w:val="left" w:pos="2280"/>
              </w:tabs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problemi reali e dal contesto quotidiano si evidenziano</w:t>
            </w:r>
          </w:p>
          <w:p w14:paraId="1F594646" w14:textId="77777777" w:rsidR="00557C4D" w:rsidRDefault="00C47237">
            <w:pPr>
              <w:tabs>
                <w:tab w:val="left" w:pos="2280"/>
              </w:tabs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quegli elementi utili e si avvia una riflessione per arrivare</w:t>
            </w:r>
          </w:p>
          <w:p w14:paraId="3EE99DA2" w14:textId="77777777" w:rsidR="00557C4D" w:rsidRDefault="00C47237">
            <w:pPr>
              <w:tabs>
                <w:tab w:val="left" w:pos="2280"/>
              </w:tabs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alla generalizzazione e ad un modello matematico. Il</w:t>
            </w:r>
          </w:p>
          <w:p w14:paraId="23511E27" w14:textId="77777777" w:rsidR="00557C4D" w:rsidRDefault="00C47237">
            <w:pPr>
              <w:tabs>
                <w:tab w:val="left" w:pos="2280"/>
              </w:tabs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laboratorio si caratterizza come spazio fisico e mentale, con</w:t>
            </w:r>
          </w:p>
          <w:p w14:paraId="79FE90E3" w14:textId="77777777" w:rsidR="00557C4D" w:rsidRDefault="00C47237">
            <w:pPr>
              <w:tabs>
                <w:tab w:val="left" w:pos="2280"/>
              </w:tabs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l’utilizzo del </w:t>
            </w:r>
            <w:proofErr w:type="spellStart"/>
            <w:r>
              <w:rPr>
                <w:rFonts w:ascii="Verdana" w:eastAsia="Verdana" w:hAnsi="Verdana" w:cs="Verdana"/>
              </w:rPr>
              <w:t>problem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posing</w:t>
            </w:r>
            <w:proofErr w:type="spellEnd"/>
            <w:r>
              <w:rPr>
                <w:rFonts w:ascii="Verdana" w:eastAsia="Verdana" w:hAnsi="Verdana" w:cs="Verdana"/>
              </w:rPr>
              <w:t xml:space="preserve">, del </w:t>
            </w:r>
            <w:proofErr w:type="spellStart"/>
            <w:r>
              <w:rPr>
                <w:rFonts w:ascii="Verdana" w:eastAsia="Verdana" w:hAnsi="Verdana" w:cs="Verdana"/>
              </w:rPr>
              <w:t>problem</w:t>
            </w:r>
            <w:proofErr w:type="spellEnd"/>
            <w:r>
              <w:rPr>
                <w:rFonts w:ascii="Verdana" w:eastAsia="Verdana" w:hAnsi="Verdana" w:cs="Verdana"/>
              </w:rPr>
              <w:t xml:space="preserve"> solving, della</w:t>
            </w:r>
          </w:p>
          <w:p w14:paraId="360942AF" w14:textId="77777777" w:rsidR="00557C4D" w:rsidRDefault="00C47237">
            <w:pPr>
              <w:tabs>
                <w:tab w:val="left" w:pos="2280"/>
              </w:tabs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modellizzazione per favorire e facilitare la comprensione e la</w:t>
            </w:r>
          </w:p>
          <w:p w14:paraId="1C5014E9" w14:textId="77777777" w:rsidR="00557C4D" w:rsidRDefault="00C47237">
            <w:pPr>
              <w:tabs>
                <w:tab w:val="left" w:pos="2280"/>
              </w:tabs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decodificazione del reale. Lo studente è al centro di questo</w:t>
            </w:r>
          </w:p>
          <w:p w14:paraId="473EE03F" w14:textId="77777777" w:rsidR="00557C4D" w:rsidRDefault="00C47237">
            <w:pPr>
              <w:tabs>
                <w:tab w:val="left" w:pos="2280"/>
              </w:tabs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percorso induttivo, raccoglie le evidenze e le mette in</w:t>
            </w:r>
          </w:p>
          <w:p w14:paraId="522DB42A" w14:textId="77777777" w:rsidR="00557C4D" w:rsidRDefault="00C47237">
            <w:pPr>
              <w:tabs>
                <w:tab w:val="left" w:pos="2280"/>
              </w:tabs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relazione tra loro argomentando intorno ad una possibile</w:t>
            </w:r>
          </w:p>
          <w:p w14:paraId="3E65A2F3" w14:textId="77777777" w:rsidR="00557C4D" w:rsidRDefault="00C47237">
            <w:pPr>
              <w:tabs>
                <w:tab w:val="left" w:pos="2280"/>
              </w:tabs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soluzione; saranno, quindi, fondamentali il lavoro di gruppo</w:t>
            </w:r>
          </w:p>
          <w:p w14:paraId="5C290923" w14:textId="77777777" w:rsidR="00557C4D" w:rsidRDefault="00C47237">
            <w:pPr>
              <w:tabs>
                <w:tab w:val="left" w:pos="2280"/>
              </w:tabs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e i momenti di riflessione condivisa in cui anche la</w:t>
            </w:r>
          </w:p>
          <w:p w14:paraId="2D505AC8" w14:textId="77777777" w:rsidR="00557C4D" w:rsidRDefault="00C47237">
            <w:pPr>
              <w:tabs>
                <w:tab w:val="left" w:pos="2280"/>
              </w:tabs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discussione sull’errore è un importante momento formativo</w:t>
            </w:r>
          </w:p>
          <w:p w14:paraId="7EB7870A" w14:textId="77777777" w:rsidR="00557C4D" w:rsidRDefault="00C47237">
            <w:pPr>
              <w:tabs>
                <w:tab w:val="left" w:pos="2280"/>
              </w:tabs>
              <w:jc w:val="both"/>
              <w:rPr>
                <w:rFonts w:ascii="Verdana" w:eastAsia="Verdana" w:hAnsi="Verdana" w:cs="Verdana"/>
                <w:highlight w:val="yellow"/>
              </w:rPr>
            </w:pPr>
            <w:r>
              <w:rPr>
                <w:rFonts w:ascii="Verdana" w:eastAsia="Verdana" w:hAnsi="Verdana" w:cs="Verdana"/>
              </w:rPr>
              <w:t>per lo studente.</w:t>
            </w:r>
          </w:p>
        </w:tc>
      </w:tr>
      <w:tr w:rsidR="00557C4D" w14:paraId="638EAC6A" w14:textId="77777777">
        <w:tc>
          <w:tcPr>
            <w:tcW w:w="2689" w:type="dxa"/>
            <w:shd w:val="clear" w:color="auto" w:fill="A6A6A6"/>
          </w:tcPr>
          <w:p w14:paraId="4BD867DF" w14:textId="77777777" w:rsidR="00557C4D" w:rsidRDefault="00C47237">
            <w:pPr>
              <w:jc w:val="center"/>
              <w:rPr>
                <w:rFonts w:ascii="Verdana" w:eastAsia="Verdana" w:hAnsi="Verdana" w:cs="Verdana"/>
                <w:b/>
                <w:bCs/>
                <w:highlight w:val="yellow"/>
              </w:rPr>
            </w:pPr>
            <w:r>
              <w:rPr>
                <w:rFonts w:ascii="Verdana" w:eastAsia="Verdana" w:hAnsi="Verdana" w:cs="Verdana"/>
                <w:b/>
                <w:bCs/>
              </w:rPr>
              <w:t>Giochiamo con la matematica</w:t>
            </w:r>
          </w:p>
        </w:tc>
        <w:tc>
          <w:tcPr>
            <w:tcW w:w="6939" w:type="dxa"/>
          </w:tcPr>
          <w:p w14:paraId="4815B0F9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Il percorso di apprendimento più efficace, che sarà utilizzato</w:t>
            </w:r>
          </w:p>
          <w:p w14:paraId="03332DEE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per il potenziamento, non è di carattere deduttivo, dalla</w:t>
            </w:r>
          </w:p>
          <w:p w14:paraId="5D75C565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legge all’esemplificazione, ma induttivo: partendo da</w:t>
            </w:r>
          </w:p>
          <w:p w14:paraId="0A22ADE8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problemi reali e dal contesto quotidiano si evidenziano</w:t>
            </w:r>
          </w:p>
          <w:p w14:paraId="6F764B36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quegli elementi utili e si avvia una riflessione per arrivare</w:t>
            </w:r>
          </w:p>
          <w:p w14:paraId="28303DB8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alla generalizzazione e ad un modello matematico. Il</w:t>
            </w:r>
          </w:p>
          <w:p w14:paraId="5DBC9349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laboratorio si caratterizza come spazio fisico e mentale, con</w:t>
            </w:r>
          </w:p>
          <w:p w14:paraId="266B3063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l’utilizzo del </w:t>
            </w:r>
            <w:proofErr w:type="spellStart"/>
            <w:r>
              <w:rPr>
                <w:rFonts w:ascii="Verdana" w:eastAsia="Verdana" w:hAnsi="Verdana" w:cs="Verdana"/>
              </w:rPr>
              <w:t>problem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posing</w:t>
            </w:r>
            <w:proofErr w:type="spellEnd"/>
            <w:r>
              <w:rPr>
                <w:rFonts w:ascii="Verdana" w:eastAsia="Verdana" w:hAnsi="Verdana" w:cs="Verdana"/>
              </w:rPr>
              <w:t xml:space="preserve">, del </w:t>
            </w:r>
            <w:proofErr w:type="spellStart"/>
            <w:r>
              <w:rPr>
                <w:rFonts w:ascii="Verdana" w:eastAsia="Verdana" w:hAnsi="Verdana" w:cs="Verdana"/>
              </w:rPr>
              <w:t>problem</w:t>
            </w:r>
            <w:proofErr w:type="spellEnd"/>
            <w:r>
              <w:rPr>
                <w:rFonts w:ascii="Verdana" w:eastAsia="Verdana" w:hAnsi="Verdana" w:cs="Verdana"/>
              </w:rPr>
              <w:t xml:space="preserve"> solving, della</w:t>
            </w:r>
          </w:p>
          <w:p w14:paraId="792C09C6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lastRenderedPageBreak/>
              <w:t>modellizzazione per favorire e facilitare la comprensione e la</w:t>
            </w:r>
          </w:p>
          <w:p w14:paraId="297FD988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decodificazione del reale. Lo studente è al centro di questo</w:t>
            </w:r>
          </w:p>
          <w:p w14:paraId="28C8FFC3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percorso induttivo, raccoglie le evidenze e le mette in</w:t>
            </w:r>
          </w:p>
          <w:p w14:paraId="4208AF03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relazione tra loro argomentando intorno ad una possibile</w:t>
            </w:r>
          </w:p>
          <w:p w14:paraId="622ED164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soluzione; saranno, quindi, fondamentali il lavoro di gruppo</w:t>
            </w:r>
          </w:p>
          <w:p w14:paraId="3923D839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e i momenti di riflessione condivisa in cui anche la</w:t>
            </w:r>
          </w:p>
          <w:p w14:paraId="2F2AD5F4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discussione sull’errore è un importante momento formativo</w:t>
            </w:r>
          </w:p>
          <w:p w14:paraId="195EC3EA" w14:textId="77777777" w:rsidR="00557C4D" w:rsidRDefault="00C47237">
            <w:pPr>
              <w:jc w:val="both"/>
              <w:rPr>
                <w:rFonts w:ascii="Verdana" w:eastAsia="Verdana" w:hAnsi="Verdana" w:cs="Verdana"/>
                <w:highlight w:val="yellow"/>
              </w:rPr>
            </w:pPr>
            <w:r>
              <w:rPr>
                <w:rFonts w:ascii="Verdana" w:eastAsia="Verdana" w:hAnsi="Verdana" w:cs="Verdana"/>
              </w:rPr>
              <w:t>per lo studente.</w:t>
            </w:r>
          </w:p>
        </w:tc>
      </w:tr>
      <w:tr w:rsidR="00557C4D" w14:paraId="5AD72D08" w14:textId="77777777">
        <w:tc>
          <w:tcPr>
            <w:tcW w:w="2689" w:type="dxa"/>
            <w:shd w:val="clear" w:color="auto" w:fill="A6A6A6"/>
          </w:tcPr>
          <w:p w14:paraId="7379587D" w14:textId="77777777" w:rsidR="00557C4D" w:rsidRDefault="00C47237">
            <w:pPr>
              <w:jc w:val="center"/>
              <w:rPr>
                <w:rFonts w:ascii="Verdana" w:eastAsia="Verdana" w:hAnsi="Verdana" w:cs="Verdana"/>
                <w:b/>
                <w:bCs/>
                <w:highlight w:val="yellow"/>
              </w:rPr>
            </w:pPr>
            <w:r>
              <w:rPr>
                <w:rFonts w:ascii="Verdana" w:eastAsia="Verdana" w:hAnsi="Verdana" w:cs="Verdana"/>
                <w:b/>
                <w:bCs/>
              </w:rPr>
              <w:lastRenderedPageBreak/>
              <w:t>Parole e testi in gioco</w:t>
            </w:r>
          </w:p>
        </w:tc>
        <w:tc>
          <w:tcPr>
            <w:tcW w:w="6939" w:type="dxa"/>
          </w:tcPr>
          <w:p w14:paraId="1144A887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La lingua italiana è caratterizzata da una trasversalità</w:t>
            </w:r>
          </w:p>
          <w:p w14:paraId="1201F2ED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intrinseca in quanto veicolo per lo studio delle altre</w:t>
            </w:r>
          </w:p>
          <w:p w14:paraId="6FD12431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discipline e condizione indispensabile per l’accesso critico a</w:t>
            </w:r>
          </w:p>
          <w:p w14:paraId="4566718C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tutti gli ambiti culturali. L’apprendimento mnemonico di</w:t>
            </w:r>
          </w:p>
          <w:p w14:paraId="061EEA8B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regole, tipico dell’insegnamento della grammatica</w:t>
            </w:r>
          </w:p>
          <w:p w14:paraId="6B189270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tradizionale e normativa, può essere superato a favore di</w:t>
            </w:r>
          </w:p>
          <w:p w14:paraId="28B6B884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pratiche in classe di riflessione e confronto sul meccanismo</w:t>
            </w:r>
          </w:p>
          <w:p w14:paraId="04D1741A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di funzionamento della lingua. In questo senso l’attività</w:t>
            </w:r>
          </w:p>
          <w:p w14:paraId="725FBC3E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didattica prevede l’adozione di un modello esplicativo della</w:t>
            </w:r>
          </w:p>
          <w:p w14:paraId="5DC59C92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struttura e del funzionamento del sistema della lingua come</w:t>
            </w:r>
          </w:p>
          <w:p w14:paraId="0114653C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quello della “grammatica valenziale” e lo svolgimento di</w:t>
            </w:r>
          </w:p>
          <w:p w14:paraId="067C5A42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giochi linguistici, che possono rendere l’apprendimento</w:t>
            </w:r>
          </w:p>
          <w:p w14:paraId="6B9F56F0" w14:textId="77777777" w:rsidR="00557C4D" w:rsidRDefault="00C47237">
            <w:pPr>
              <w:jc w:val="both"/>
              <w:rPr>
                <w:rFonts w:ascii="Verdana" w:eastAsia="Verdana" w:hAnsi="Verdana" w:cs="Verdana"/>
                <w:highlight w:val="yellow"/>
              </w:rPr>
            </w:pPr>
            <w:r>
              <w:rPr>
                <w:rFonts w:ascii="Verdana" w:eastAsia="Verdana" w:hAnsi="Verdana" w:cs="Verdana"/>
              </w:rPr>
              <w:t>dinamico e stimolante.</w:t>
            </w:r>
          </w:p>
        </w:tc>
      </w:tr>
      <w:tr w:rsidR="00557C4D" w14:paraId="14921F4D" w14:textId="77777777">
        <w:tc>
          <w:tcPr>
            <w:tcW w:w="2689" w:type="dxa"/>
            <w:shd w:val="clear" w:color="auto" w:fill="A6A6A6"/>
          </w:tcPr>
          <w:p w14:paraId="0BE75F74" w14:textId="77777777" w:rsidR="00557C4D" w:rsidRDefault="00C47237">
            <w:pPr>
              <w:jc w:val="center"/>
              <w:rPr>
                <w:rFonts w:ascii="Verdana" w:eastAsia="Verdana" w:hAnsi="Verdana" w:cs="Verdana"/>
                <w:b/>
                <w:bCs/>
                <w:highlight w:val="yellow"/>
              </w:rPr>
            </w:pPr>
            <w:r>
              <w:rPr>
                <w:rFonts w:ascii="Verdana" w:eastAsia="Verdana" w:hAnsi="Verdana" w:cs="Verdana"/>
                <w:b/>
                <w:bCs/>
              </w:rPr>
              <w:t>Digitalmente consapevoli</w:t>
            </w:r>
          </w:p>
        </w:tc>
        <w:tc>
          <w:tcPr>
            <w:tcW w:w="6939" w:type="dxa"/>
          </w:tcPr>
          <w:p w14:paraId="4645ACEC" w14:textId="77777777" w:rsidR="00557C4D" w:rsidRDefault="00C47237">
            <w:pPr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L’obiettivo del percorso è quello di coinvolgere gli studenti e studentesse in attività pratiche che promuovono lo sviluppo del pensiero computazionale e delle competenze di cittadinanza digitale attraverso l’utilizzo consapevole del web e delle sue potenzialità. </w:t>
            </w:r>
          </w:p>
          <w:p w14:paraId="7A07B405" w14:textId="77777777" w:rsidR="00557C4D" w:rsidRDefault="00C47237">
            <w:pPr>
              <w:jc w:val="both"/>
              <w:rPr>
                <w:rFonts w:ascii="Verdana" w:eastAsia="Verdana" w:hAnsi="Verdana" w:cs="Verdana"/>
                <w:highlight w:val="yellow"/>
              </w:rPr>
            </w:pPr>
            <w:r>
              <w:rPr>
                <w:rFonts w:ascii="Verdana" w:eastAsia="Verdana" w:hAnsi="Verdana" w:cs="Verdana"/>
              </w:rPr>
              <w:t xml:space="preserve">L'impiego di software didattici Scratch e/o di tecnologie digitali quali </w:t>
            </w:r>
            <w:proofErr w:type="spellStart"/>
            <w:r>
              <w:rPr>
                <w:rFonts w:ascii="Verdana" w:eastAsia="Verdana" w:hAnsi="Verdana" w:cs="Verdana"/>
              </w:rPr>
              <w:t>digital</w:t>
            </w:r>
            <w:proofErr w:type="spellEnd"/>
            <w:r>
              <w:rPr>
                <w:rFonts w:ascii="Verdana" w:eastAsia="Verdana" w:hAnsi="Verdana" w:cs="Verdana"/>
              </w:rPr>
              <w:t xml:space="preserve"> storytelling e videomaking diviene fondamentale per implementare le competenze logiche e per lo sviluppo del processo di inclusione. Tali attività favoriscono la motivazione degli studenti e delle studentesse, in quanto promuovono la realizzazione di ambienti di apprendimento in grado di coniugare teoria e laboratorio.</w:t>
            </w:r>
          </w:p>
        </w:tc>
      </w:tr>
      <w:tr w:rsidR="00557C4D" w14:paraId="05831AED" w14:textId="77777777">
        <w:tc>
          <w:tcPr>
            <w:tcW w:w="2689" w:type="dxa"/>
            <w:shd w:val="clear" w:color="auto" w:fill="A6A6A6"/>
          </w:tcPr>
          <w:p w14:paraId="44C78DA3" w14:textId="77777777" w:rsidR="00557C4D" w:rsidRDefault="00C47237">
            <w:pPr>
              <w:tabs>
                <w:tab w:val="left" w:pos="1710"/>
              </w:tabs>
              <w:rPr>
                <w:rFonts w:ascii="Verdana" w:eastAsia="Verdana" w:hAnsi="Verdana" w:cs="Verdana"/>
                <w:b/>
                <w:bCs/>
                <w:highlight w:val="yellow"/>
              </w:rPr>
            </w:pPr>
            <w:r>
              <w:rPr>
                <w:rFonts w:ascii="Verdana" w:eastAsia="Verdana" w:hAnsi="Verdana" w:cs="Verdana"/>
                <w:b/>
                <w:bCs/>
              </w:rPr>
              <w:t>Cittadinanza digitale</w:t>
            </w:r>
          </w:p>
        </w:tc>
        <w:tc>
          <w:tcPr>
            <w:tcW w:w="6939" w:type="dxa"/>
          </w:tcPr>
          <w:p w14:paraId="369176B0" w14:textId="77777777" w:rsidR="00557C4D" w:rsidRDefault="00C47237">
            <w:pPr>
              <w:jc w:val="both"/>
              <w:rPr>
                <w:rFonts w:ascii="Verdana" w:eastAsia="Verdana" w:hAnsi="Verdana" w:cs="Verdana"/>
                <w:highlight w:val="yellow"/>
              </w:rPr>
            </w:pPr>
            <w:r>
              <w:rPr>
                <w:rFonts w:ascii="Verdana" w:eastAsia="Verdana" w:hAnsi="Verdana" w:cs="Verdana"/>
              </w:rPr>
              <w:t>I moduli formativi comprenderanno: Cenni di Cultura Digitale, con l’introduzione pratica allo Storytelling; Studio e comprensione dei “Diritti della Rete”, in particolare l’utilizzo consapevole dei Social Network e l’utilizzo e la condivisione di contenuti in rete, anche in un’ottica di contrasto al cyberbullismo e altre discriminazioni; Comprensione del concetto di Privacy, in particolare in relazione alla gestione dei dati sensibili e dell’identità digitale; Produzione e editing di contenuti digitali, att</w:t>
            </w:r>
            <w:r>
              <w:rPr>
                <w:rFonts w:ascii="Verdana" w:eastAsia="Verdana" w:hAnsi="Verdana" w:cs="Verdana"/>
              </w:rPr>
              <w:t>raverso la creazione di un blog.</w:t>
            </w:r>
          </w:p>
        </w:tc>
      </w:tr>
      <w:tr w:rsidR="00557C4D" w14:paraId="53DA5301" w14:textId="77777777">
        <w:tc>
          <w:tcPr>
            <w:tcW w:w="2689" w:type="dxa"/>
            <w:shd w:val="clear" w:color="auto" w:fill="A6A6A6"/>
          </w:tcPr>
          <w:p w14:paraId="11ACB989" w14:textId="77777777" w:rsidR="00557C4D" w:rsidRDefault="00C47237">
            <w:pPr>
              <w:jc w:val="center"/>
              <w:rPr>
                <w:rFonts w:ascii="Verdana" w:eastAsia="Verdana" w:hAnsi="Verdana" w:cs="Verdana"/>
                <w:b/>
                <w:bCs/>
                <w:highlight w:val="yellow"/>
              </w:rPr>
            </w:pPr>
            <w:r>
              <w:rPr>
                <w:rFonts w:ascii="Verdana" w:eastAsia="Verdana" w:hAnsi="Verdana" w:cs="Verdana"/>
                <w:b/>
                <w:bCs/>
              </w:rPr>
              <w:t>Scienziati in erba</w:t>
            </w:r>
          </w:p>
        </w:tc>
        <w:tc>
          <w:tcPr>
            <w:tcW w:w="6939" w:type="dxa"/>
          </w:tcPr>
          <w:p w14:paraId="2A568288" w14:textId="77777777" w:rsidR="00557C4D" w:rsidRDefault="00C47237">
            <w:pPr>
              <w:jc w:val="both"/>
              <w:rPr>
                <w:rFonts w:ascii="Verdana" w:eastAsia="Verdana" w:hAnsi="Verdana" w:cs="Verdana"/>
                <w:highlight w:val="yellow"/>
              </w:rPr>
            </w:pPr>
            <w:r>
              <w:rPr>
                <w:rFonts w:ascii="Verdana" w:eastAsia="Verdana" w:hAnsi="Verdana" w:cs="Verdana"/>
              </w:rPr>
              <w:t>Le attività proposte vogliono facilitare la comprensione e l’apprendimento di alcuni semplici fenomeni fisici normalmente osservabili nella realtà quotidiana, ricorrendo allo strumento didattico del metodo sperimentale: fare per imparare. Il metodo è utilizzato nei contesti scientifici per approfondire le conoscenze attraverso lo sviluppo delle abilità/capacità.</w:t>
            </w:r>
          </w:p>
        </w:tc>
      </w:tr>
      <w:tr w:rsidR="00557C4D" w14:paraId="58BC912A" w14:textId="77777777">
        <w:tc>
          <w:tcPr>
            <w:tcW w:w="2689" w:type="dxa"/>
            <w:shd w:val="clear" w:color="auto" w:fill="A6A6A6"/>
          </w:tcPr>
          <w:p w14:paraId="79AF1EA8" w14:textId="77777777" w:rsidR="00557C4D" w:rsidRDefault="00C47237">
            <w:pPr>
              <w:jc w:val="center"/>
              <w:rPr>
                <w:rFonts w:ascii="Verdana" w:eastAsia="Verdana" w:hAnsi="Verdana" w:cs="Verdana"/>
                <w:b/>
                <w:bCs/>
                <w:highlight w:val="yellow"/>
              </w:rPr>
            </w:pPr>
            <w:r>
              <w:rPr>
                <w:rFonts w:ascii="Verdana" w:eastAsia="Verdana" w:hAnsi="Verdana" w:cs="Verdana"/>
                <w:b/>
                <w:bCs/>
              </w:rPr>
              <w:t>Naturalmente STEAM</w:t>
            </w:r>
          </w:p>
        </w:tc>
        <w:tc>
          <w:tcPr>
            <w:tcW w:w="6939" w:type="dxa"/>
          </w:tcPr>
          <w:p w14:paraId="4E38164E" w14:textId="77777777" w:rsidR="00557C4D" w:rsidRDefault="00C47237">
            <w:pPr>
              <w:jc w:val="both"/>
              <w:rPr>
                <w:rFonts w:ascii="Verdana" w:eastAsia="Verdana" w:hAnsi="Verdana" w:cs="Verdana"/>
                <w:highlight w:val="yellow"/>
              </w:rPr>
            </w:pPr>
            <w:r>
              <w:rPr>
                <w:rFonts w:ascii="Verdana" w:eastAsia="Verdana" w:hAnsi="Verdana" w:cs="Verdana"/>
              </w:rPr>
              <w:t xml:space="preserve">Promuovere la creatività con il linguaggio delle immagini e del colore a partire da materiale di riciclo: la finalità sarà perseguita attraverso attività di manipolazione che consentano ai bambini di operare, plasmare, trasformare, </w:t>
            </w:r>
            <w:r>
              <w:rPr>
                <w:rFonts w:ascii="Verdana" w:eastAsia="Verdana" w:hAnsi="Verdana" w:cs="Verdana"/>
              </w:rPr>
              <w:lastRenderedPageBreak/>
              <w:t>costruire oggetti e manufatti intorno a temi condivisi ed in ottica laboratoriale. Le attività avranno un'impronta altamente inclusiva.</w:t>
            </w:r>
          </w:p>
        </w:tc>
      </w:tr>
    </w:tbl>
    <w:p w14:paraId="5519E880" w14:textId="77777777" w:rsidR="00557C4D" w:rsidRDefault="00557C4D"/>
    <w:sectPr w:rsidR="00557C4D">
      <w:headerReference w:type="default" r:id="rId7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64ADF" w14:textId="77777777" w:rsidR="00C47237" w:rsidRDefault="00C47237">
      <w:pPr>
        <w:spacing w:after="0" w:line="240" w:lineRule="auto"/>
      </w:pPr>
      <w:r>
        <w:separator/>
      </w:r>
    </w:p>
  </w:endnote>
  <w:endnote w:type="continuationSeparator" w:id="0">
    <w:p w14:paraId="42BE63B3" w14:textId="77777777" w:rsidR="00C47237" w:rsidRDefault="00C47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0662DAC-D8BE-4E86-9DED-39CAD9FF96B3}"/>
    <w:embedBold r:id="rId2" w:fontKey="{9A6312C4-C139-4C96-BC90-A89A13A60558}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BF2E611-9DB1-4834-8315-04B1BBF0EBF1}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E4F1CE17-FD02-4AE3-BA85-210ACE462C33}"/>
    <w:embedBold r:id="rId5" w:fontKey="{CB6A9298-2C03-4AB8-9CCB-73F92C0D7F0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26804B51-4365-4D2A-83E6-E53EF006A78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BA4D0" w14:textId="77777777" w:rsidR="00C47237" w:rsidRDefault="00C47237">
      <w:pPr>
        <w:spacing w:after="0" w:line="240" w:lineRule="auto"/>
      </w:pPr>
      <w:r>
        <w:separator/>
      </w:r>
    </w:p>
  </w:footnote>
  <w:footnote w:type="continuationSeparator" w:id="0">
    <w:p w14:paraId="636C6F70" w14:textId="77777777" w:rsidR="00C47237" w:rsidRDefault="00C472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926EE" w14:textId="77777777" w:rsidR="00557C4D" w:rsidRDefault="00C4723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b/>
        <w:bCs/>
        <w:color w:val="000000"/>
        <w:sz w:val="28"/>
        <w:szCs w:val="28"/>
      </w:rPr>
      <w:t>Allegato C – Indicazioni didattiche per ciascuno dei moduli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C4D"/>
    <w:rsid w:val="00557C4D"/>
    <w:rsid w:val="00607BC9"/>
    <w:rsid w:val="00C47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DF20E"/>
  <w15:docId w15:val="{84481064-E26B-4B69-BCDE-E705A19FC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hjRW9L06m17CvwLXsMA40YFRRQ==">CgMxLjA4AHIhMXdrczkxd28zaXBiUnpkRmltQjdIMEpubHNrWTlvem41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922</Words>
  <Characters>5259</Characters>
  <Application>Microsoft Office Word</Application>
  <DocSecurity>0</DocSecurity>
  <Lines>43</Lines>
  <Paragraphs>12</Paragraphs>
  <ScaleCrop>false</ScaleCrop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DSGA</cp:lastModifiedBy>
  <cp:revision>2</cp:revision>
  <dcterms:created xsi:type="dcterms:W3CDTF">2026-04-13T11:18:00Z</dcterms:created>
  <dcterms:modified xsi:type="dcterms:W3CDTF">2026-04-13T11:18:00Z</dcterms:modified>
</cp:coreProperties>
</file>